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firstLine="5103"/>
        <w:rPr/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Приложение </w:t>
      </w:r>
    </w:p>
    <w:p>
      <w:pPr>
        <w:pStyle w:val="Normal"/>
        <w:spacing w:lineRule="auto" w:line="240" w:before="0" w:after="0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>
      <w:pPr>
        <w:pStyle w:val="Normal"/>
        <w:spacing w:lineRule="auto" w:line="240" w:before="0" w:after="0"/>
        <w:ind w:firstLine="5103"/>
        <w:rPr/>
      </w:pPr>
      <w:r>
        <w:rPr>
          <w:rFonts w:ascii="Times New Roman" w:hAnsi="Times New Roman"/>
          <w:sz w:val="28"/>
          <w:szCs w:val="28"/>
        </w:rPr>
        <w:t>Шушенского сельсовета</w:t>
      </w:r>
    </w:p>
    <w:p>
      <w:pPr>
        <w:pStyle w:val="Normal"/>
        <w:tabs>
          <w:tab w:val="left" w:pos="5387" w:leader="none"/>
        </w:tabs>
        <w:spacing w:lineRule="auto" w:line="240" w:before="0" w:after="0"/>
        <w:ind w:firstLine="5103"/>
        <w:rPr/>
      </w:pPr>
      <w:r>
        <w:rPr>
          <w:rFonts w:ascii="Times New Roman" w:hAnsi="Times New Roman"/>
          <w:sz w:val="28"/>
          <w:szCs w:val="28"/>
        </w:rPr>
        <w:t>от _________.2016 № _____</w:t>
      </w:r>
    </w:p>
    <w:p>
      <w:pPr>
        <w:pStyle w:val="Normal"/>
        <w:tabs>
          <w:tab w:val="left" w:pos="5387" w:leader="none"/>
        </w:tabs>
        <w:spacing w:lineRule="auto" w:line="240" w:before="0" w:after="0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left" w:pos="5387" w:leader="none"/>
        </w:tabs>
        <w:spacing w:lineRule="auto" w:line="240" w:before="0" w:after="0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ПАСПОРТ МУНИЦИПАЛЬНОЙ ПРОГРАММЫ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«Муниципальное управление»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tbl>
      <w:tblPr>
        <w:tblW w:w="9606" w:type="dxa"/>
        <w:jc w:val="left"/>
        <w:tblInd w:w="-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73" w:type="dxa"/>
          <w:bottom w:w="0" w:type="dxa"/>
          <w:right w:w="108" w:type="dxa"/>
        </w:tblCellMar>
        <w:tblLook w:val="00a0"/>
      </w:tblPr>
      <w:tblGrid>
        <w:gridCol w:w="2657"/>
        <w:gridCol w:w="6948"/>
      </w:tblGrid>
      <w:tr>
        <w:trPr>
          <w:trHeight w:val="970" w:hRule="atLeast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«Муниципальное управление» (далее – Программа)</w:t>
            </w:r>
          </w:p>
        </w:tc>
      </w:tr>
      <w:tr>
        <w:trPr>
          <w:trHeight w:val="2685" w:hRule="atLeast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разработки муниципальной программы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 администрации Шушенского сельсовета от 30.07.2013г. № 41 "Об утверждении Порядка принятия решений о разработке муниципальных программ Шушенского сельсовета, их формировании и реализации"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Распоряжение администрации Шушенского сельсовета от 02.08.2013г. № 18 "Об утверждении Перечня муниципальных программ Шушенского сельсовета"</w:t>
            </w:r>
          </w:p>
        </w:tc>
      </w:tr>
      <w:tr>
        <w:trPr>
          <w:trHeight w:val="1329" w:hRule="atLeast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Шушенского сельсовета</w:t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Соисполнители муниципальной программы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>
        <w:trPr>
          <w:trHeight w:val="1980" w:hRule="atLeast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tabs>
                <w:tab w:val="left" w:pos="1134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подпрограмм муниципальной программы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numPr>
                <w:ilvl w:val="0"/>
                <w:numId w:val="2"/>
              </w:numPr>
              <w:overflowPunct w:val="false"/>
              <w:spacing w:lineRule="auto" w:line="240" w:before="0" w:after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«Управление муниципальным имуществом                  и земельными ресурсами»</w:t>
            </w:r>
          </w:p>
          <w:p>
            <w:pPr>
              <w:pStyle w:val="Normal"/>
              <w:numPr>
                <w:ilvl w:val="0"/>
                <w:numId w:val="2"/>
              </w:numPr>
              <w:overflowPunct w:val="false"/>
              <w:spacing w:lineRule="auto" w:line="240" w:before="0" w:after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«Управление муниципальными финансами»</w:t>
            </w:r>
          </w:p>
          <w:p>
            <w:pPr>
              <w:pStyle w:val="Normal"/>
              <w:numPr>
                <w:ilvl w:val="0"/>
                <w:numId w:val="2"/>
              </w:numPr>
              <w:overflowPunct w:val="false"/>
              <w:spacing w:lineRule="auto" w:line="240" w:before="0" w:after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документами территориального планирования»</w:t>
            </w:r>
          </w:p>
          <w:p>
            <w:pPr>
              <w:pStyle w:val="Normal"/>
              <w:numPr>
                <w:ilvl w:val="0"/>
                <w:numId w:val="2"/>
              </w:numPr>
              <w:overflowPunct w:val="false"/>
              <w:spacing w:lineRule="auto" w:line="240" w:before="0" w:after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«Повышение энергетической эффективности                и сокращение энергетических издержек в бюджетном секторе»</w:t>
            </w:r>
          </w:p>
          <w:p>
            <w:pPr>
              <w:pStyle w:val="Normal"/>
              <w:numPr>
                <w:ilvl w:val="0"/>
                <w:numId w:val="2"/>
              </w:numPr>
              <w:overflowPunct w:val="false"/>
              <w:spacing w:lineRule="auto" w:line="240" w:before="0" w:after="20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реализации муниципальной программы»</w:t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Цель муниципальной программы </w:t>
            </w:r>
          </w:p>
        </w:tc>
        <w:tc>
          <w:tcPr>
            <w:tcW w:w="6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ConsPlusCel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</w:t>
            </w:r>
          </w:p>
          <w:p>
            <w:pPr>
              <w:pStyle w:val="ConsPlusCel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</w:t>
            </w:r>
          </w:p>
          <w:p>
            <w:pPr>
              <w:pStyle w:val="ConsPlusCel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</w:t>
            </w:r>
          </w:p>
          <w:p>
            <w:pPr>
              <w:pStyle w:val="ConsPlusCel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en-US"/>
              </w:rPr>
              <w:t>Формирование целостной и эффективной системы управления энергосбережением и повышением энергетической эффективности</w:t>
            </w:r>
          </w:p>
          <w:p>
            <w:pPr>
              <w:pStyle w:val="ConsPlusCel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Создание условий для выполнения полномочий по решению вопросов местного значения поселения и отдельных государственных полномочий</w:t>
            </w:r>
          </w:p>
        </w:tc>
      </w:tr>
      <w:tr>
        <w:trPr>
          <w:trHeight w:val="1295" w:hRule="atLeast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ConsPlusCell"/>
              <w:spacing w:lineRule="auto" w:line="2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2014-2018 годы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18" w:leader="none"/>
              </w:tabs>
              <w:spacing w:lineRule="auto" w:line="240" w:before="0" w:after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6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 в приложении № 1 и № 2  к программе</w:t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по ресурсному обеспечению программы,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6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Планируемое финансирование программных мероприятий составляет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11 1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0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296,94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руб., в том числе             за счет средств: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федерального бюджета 253 858,0 руб., из них: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2014 год – 62 200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2015 год – 58 413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2016 год – 65 945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2017 год – 67 300 руб.;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 0,00 руб.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краевого бюджета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72 653,10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руб., из них: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2014 год – 10 799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52 863,10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2016 год – 5 591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2017 год – 1 700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bookmarkStart w:id="0" w:name="__DdeLink__224_1525909345"/>
            <w:bookmarkEnd w:id="0"/>
            <w:r>
              <w:rPr>
                <w:rFonts w:ascii="Times New Roman" w:hAnsi="Times New Roman"/>
                <w:sz w:val="28"/>
                <w:szCs w:val="28"/>
              </w:rPr>
              <w:t>2018 год – 1 700 руб.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районного бюджета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10 648,0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руб., из них: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2014 год – 0,0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2015 год – 10 648,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2016 год – 0,0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2017 год – 0,0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2018 год – 0,0 руб.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бюджета поселения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773137,84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руб., из них: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2014 год –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2 0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22490,78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2 288 847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2016 год – 2 168 800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2017 год – 2 146 500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2018 год – 2 146 500 руб.</w:t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Перечень объектов капитального строительства </w:t>
            </w:r>
          </w:p>
        </w:tc>
        <w:tc>
          <w:tcPr>
            <w:tcW w:w="6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jc w:val="center"/>
        <w:outlineLvl w:val="1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 Характеристика текущего состояния соответствующей сферы с указанием основных показателей социально-экономического развития территории сельсовета и анализ социальных, финансово-экономических и прочих рисков реализации программы</w:t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jc w:val="center"/>
        <w:outlineLvl w:val="1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 к вопросам местного значения поселения относятся: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формирование, утверждение, исполнение бюджета поселения и контроль за исполнением данного бюджета;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установление, изменение и отмена местных налогов и сборов поселения;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владение, пользование и распоряжение имуществом, находящимся в муниципальной собственности поселения;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cs="Calibri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2">
        <w:r>
          <w:rPr>
            <w:rStyle w:val="Style20"/>
            <w:rFonts w:ascii="Times New Roman" w:hAnsi="Times New Roman"/>
            <w:sz w:val="28"/>
            <w:szCs w:val="28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за использованием земель поселения, осуществление в случаях, предусмотренных Градостроительным </w:t>
      </w:r>
      <w:hyperlink r:id="rId3">
        <w:r>
          <w:rPr>
            <w:rStyle w:val="Style20"/>
            <w:rFonts w:ascii="Times New Roman" w:hAnsi="Times New Roman"/>
            <w:sz w:val="28"/>
            <w:szCs w:val="28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ascii="Times New Roman" w:hAnsi="Times New Roman"/>
          <w:sz w:val="28"/>
          <w:szCs w:val="28"/>
        </w:rPr>
        <w:t xml:space="preserve">-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4">
        <w:r>
          <w:rPr>
            <w:rStyle w:val="Style20"/>
            <w:rFonts w:ascii="Times New Roman" w:hAnsi="Times New Roman"/>
            <w:sz w:val="28"/>
            <w:szCs w:val="28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>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 вправе участвовать в осуществлении отдельных государственных полномочий в соответствии с федеральным и краевым законодательством, к которым относятся: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 отдельных государственных полномочий, переданных администрации сельсовета, осуществляется только за счет предоставляемых бюджету поселения субвенций из соответствующих бюджетов.</w:t>
      </w:r>
    </w:p>
    <w:p>
      <w:pPr>
        <w:pStyle w:val="Normal"/>
        <w:widowControl w:val="false"/>
        <w:spacing w:lineRule="auto" w:line="240" w:before="0" w:after="0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отдельных полномочий поселения в области градостроительной деятельности и земельного контроля ежегодно передаются на уровень района в соответствии с ч. 4 ст. 15 Федерального закона от 06.10.2003 года № 131-ФЗ «Об общих принципах организации местного самоуправления в Российской Федерации», на основании решений представительного органа Шарыповского района и поселения о передаче полномочий и заключенного соответствующего соглашения.</w:t>
      </w:r>
    </w:p>
    <w:p>
      <w:pPr>
        <w:pStyle w:val="Normal"/>
        <w:widowControl w:val="false"/>
        <w:spacing w:lineRule="auto" w:line="240" w:before="0" w:after="0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Ежегодный объем межбюджетных трансфертов, необходимый для осуществления передаваемых полномочий, определяется в соответствии с Порядком определения объема межбюджетных трансфертов, предоставляемых из бюджета поселения в бюджет муниципального района на финансовое обеспечение исполнения переданных полномочий и утверждается решением Шушенского сельского Совета депутатов на очередной финансовый год и плановый период.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осуществление муниципальной программы влияет множество экономических и социальных факторов, в связи с чем, имеются следующие риски, способные негативно повлиять на ход её реализации: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540"/>
        <w:jc w:val="both"/>
        <w:outlineLvl w:val="0"/>
        <w:rPr/>
      </w:pPr>
      <w:r>
        <w:rPr>
          <w:rFonts w:ascii="Times New Roman" w:hAnsi="Times New Roman"/>
          <w:sz w:val="28"/>
          <w:szCs w:val="28"/>
        </w:rPr>
        <w:t xml:space="preserve">основной риск для муниципальной программы – изменение федерального и краевого законодательства. В первую очередь данный риск влияет на формирование межбюджетных отношений между Шарыповским районом и муниципальным образованием </w:t>
      </w:r>
      <w:r>
        <w:rPr>
          <w:rFonts w:ascii="Times New Roman" w:hAnsi="Times New Roman"/>
          <w:sz w:val="28"/>
          <w:szCs w:val="28"/>
          <w:lang w:val="en-US"/>
        </w:rPr>
        <w:t xml:space="preserve">Ieitycrbq </w:t>
      </w:r>
      <w:r>
        <w:rPr>
          <w:rFonts w:ascii="Times New Roman" w:hAnsi="Times New Roman"/>
          <w:sz w:val="28"/>
          <w:szCs w:val="28"/>
        </w:rPr>
        <w:t>сельсовет. Перераспределение расходных полномочий между краевым и местными бюджетами влечет за собой необходимость пересмотра распределения налоговых доходов, что не способствует построению стабильной и эффективной системы межбюджетных отношений;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замедление темпов экономического развития. В данной ситуации возможно снижение поступлений налоговых и неналоговых доходов в бюджет поселения и, как следствие, отсутствие возможности увеличения расходов бюджета поселения, в связи с чем, заданные показатели результативности могут быть невыполненными.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 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/>
      </w:pPr>
      <w:r>
        <w:rPr>
          <w:rFonts w:ascii="Times New Roman" w:hAnsi="Times New Roman"/>
          <w:sz w:val="28"/>
          <w:szCs w:val="28"/>
        </w:rPr>
        <w:t xml:space="preserve">Приоритеты и цели государственной политики определены в соответствии с </w:t>
      </w:r>
      <w:hyperlink r:id="rId5">
        <w:r>
          <w:rPr>
            <w:rStyle w:val="Style20"/>
            <w:rFonts w:ascii="Times New Roman" w:hAnsi="Times New Roman"/>
            <w:sz w:val="28"/>
            <w:szCs w:val="28"/>
          </w:rPr>
          <w:t>Концепцией</w:t>
        </w:r>
      </w:hyperlink>
      <w:r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N 1662-р.</w:t>
      </w:r>
    </w:p>
    <w:p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Поставленные цели и задачи программы соответствуют социально-экономическим приоритетам администрации сельсовета.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муниципальной программы является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муниципальной программы направлена на достижение следующих задач:</w:t>
      </w:r>
    </w:p>
    <w:p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>1.Обеспечение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поселения;</w:t>
      </w:r>
    </w:p>
    <w:p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</w:r>
    </w:p>
    <w:p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>3.Обеспечение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</w:r>
    </w:p>
    <w:p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4.Формирование целостной и эффективной системы управления энергосбережением и повышением энергетической эффективности;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5.Создание условий для выполнения полномочий по решению вопросов местного значения поселения и отдельных государственных полномочий.</w:t>
      </w:r>
    </w:p>
    <w:p>
      <w:pPr>
        <w:pStyle w:val="ConsPlusNormal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  <w:r>
        <w:rPr>
          <w:rFonts w:ascii="Times New Roman" w:hAnsi="Times New Roman"/>
          <w:bCs/>
          <w:sz w:val="28"/>
          <w:szCs w:val="28"/>
        </w:rPr>
        <w:t>приведены в приложении № 1-2.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</w:r>
    </w:p>
    <w:p>
      <w:pPr>
        <w:pStyle w:val="ListParagraph"/>
        <w:widowControl w:val="false"/>
        <w:tabs>
          <w:tab w:val="left" w:pos="0" w:leader="none"/>
        </w:tabs>
        <w:spacing w:lineRule="auto" w:line="240" w:before="0" w:after="0"/>
        <w:ind w:left="0" w:hanging="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b/>
          <w:sz w:val="28"/>
          <w:szCs w:val="28"/>
        </w:rPr>
        <w:t>Механизм реализации отдельных мероприятий программы (описание организационных, экономических и правовых механизмов, необходимых для эффективной реализации отдельных мероприятий программы; последовательность выполнения отдельных мероприятий программы, их взаимоувязанность; критерии выбора исполнителей; критерии выбора получателей муниципальных услуг) или ссылку на нормативный акт, регламентирующий реализацию соответствующих мероприятий</w:t>
      </w:r>
    </w:p>
    <w:p>
      <w:pPr>
        <w:pStyle w:val="Normal"/>
        <w:widowControl w:val="false"/>
        <w:spacing w:lineRule="auto" w:line="240" w:before="0" w:after="0"/>
        <w:ind w:firstLine="540"/>
        <w:jc w:val="center"/>
        <w:rPr>
          <w:rFonts w:ascii="Times New Roman" w:hAnsi="Times New Roman" w:cs="" w:cstheme="minorBidi"/>
          <w:b/>
          <w:b/>
          <w:sz w:val="28"/>
          <w:szCs w:val="28"/>
        </w:rPr>
      </w:pPr>
      <w:r>
        <w:rPr>
          <w:rFonts w:cs="" w:cstheme="minorBidi" w:ascii="Times New Roman" w:hAnsi="Times New Roman"/>
          <w:b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реализуется в рамках подпрограмм и не содержит отдельных мероприятий.</w:t>
      </w:r>
    </w:p>
    <w:p>
      <w:pPr>
        <w:pStyle w:val="ConsPlusCell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сельсовета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сохранить 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 на уровне не менее 95%;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доля расходов бюджета поселения, формируемых в рамках муниципальных программ, в общем объеме расходов бюджета поселения составит не менее 96%.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</w:p>
    <w:p>
      <w:pPr>
        <w:pStyle w:val="Normal"/>
        <w:numPr>
          <w:ilvl w:val="0"/>
          <w:numId w:val="2"/>
        </w:numPr>
        <w:tabs>
          <w:tab w:val="left" w:pos="567" w:leader="none"/>
        </w:tabs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Перечень подпрограмм с указанием сроков их реализации и ожидаемых результатов</w:t>
      </w:r>
    </w:p>
    <w:p>
      <w:pPr>
        <w:pStyle w:val="Normal"/>
        <w:tabs>
          <w:tab w:val="left" w:pos="567" w:leader="none"/>
        </w:tabs>
        <w:spacing w:lineRule="auto" w:line="240" w:before="0" w:after="0"/>
        <w:ind w:left="720" w:hanging="0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рамках программы реализуются следующие подпрограммы:</w:t>
      </w:r>
    </w:p>
    <w:p>
      <w:pPr>
        <w:pStyle w:val="Normal"/>
        <w:overflowPunct w:val="false"/>
        <w:spacing w:lineRule="auto" w:line="240" w:before="0" w:after="0"/>
        <w:ind w:firstLine="567"/>
        <w:jc w:val="both"/>
        <w:textAlignment w:val="baseline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Подпрограмма 1. «Управление муниципальным имуществом                            и земельными ресурсами»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2014-2018 годы.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 w:eastAsiaTheme="minorHAns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увеличить поступление доходов в бюджет поселения за счет  эффективного управления и распоряжения муниципальным имуществом                  не менее чем на 20%;      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увеличить долю проинвентаризированных   объектов муниципального  имущества по отношению к общему количеству объектов  муниципального имущества до 100 %; </w:t>
      </w:r>
    </w:p>
    <w:p>
      <w:pPr>
        <w:pStyle w:val="Normal"/>
        <w:widowControl w:val="false"/>
        <w:spacing w:lineRule="auto" w:line="240" w:before="0" w:after="0"/>
        <w:ind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поступление в бюджет поселения доходов от управления и распоряжения земельными ресурсами (налогооблагаемая база и доходы бюджета поселения от неналоговых платежей за землю) не менее чем на 40%;</w:t>
      </w:r>
    </w:p>
    <w:p>
      <w:pPr>
        <w:pStyle w:val="ConsPlusTitle"/>
        <w:widowControl/>
        <w:ind w:firstLine="567"/>
        <w:jc w:val="both"/>
        <w:rPr>
          <w:rFonts w:ascii="Times New Roman" w:hAnsi="Times New Roman"/>
          <w:b w:val="false"/>
          <w:b w:val="false"/>
          <w:sz w:val="24"/>
          <w:szCs w:val="24"/>
        </w:rPr>
      </w:pPr>
      <w:r>
        <w:rPr>
          <w:rFonts w:ascii="Times New Roman" w:hAnsi="Times New Roman"/>
          <w:b w:val="false"/>
          <w:sz w:val="28"/>
          <w:szCs w:val="28"/>
        </w:rPr>
        <w:t xml:space="preserve">- увеличить долю земельных участков, устранивших нарушение земельного законодательства в результате проведения муниципального земельного контроля до 80 </w:t>
      </w:r>
      <w:r>
        <w:rPr>
          <w:rFonts w:ascii="Times New Roman" w:hAnsi="Times New Roman"/>
          <w:b w:val="false"/>
          <w:sz w:val="24"/>
          <w:szCs w:val="24"/>
        </w:rPr>
        <w:t>%.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  <w:r>
        <w:rPr>
          <w:rFonts w:ascii="Times New Roman" w:hAnsi="Times New Roman"/>
          <w:color w:val="FF0000"/>
          <w:sz w:val="28"/>
          <w:szCs w:val="28"/>
          <w:highlight w:val="yellow"/>
        </w:rPr>
      </w:r>
    </w:p>
    <w:p>
      <w:pPr>
        <w:pStyle w:val="Normal"/>
        <w:overflowPunct w:val="false"/>
        <w:spacing w:lineRule="auto" w:line="240" w:before="0" w:after="0"/>
        <w:ind w:firstLine="567"/>
        <w:jc w:val="both"/>
        <w:textAlignment w:val="baseline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Подпрограмма 2. «Управление муниципальными финансами»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2014-2018 годы.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 w:eastAsiaTheme="minorHAns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долю налоговых и неналоговых доходов бюджета поселения  (без учета субвенций) не менее 28%;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долю расходов бюджета поселения, формируемых в рамках муниципальных программ, в общем объеме расходов бюджета поселения не менее 96%;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обеспечить высокое качество управления муниципальными финансами поселения;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допустить в бюджете поселения просроченной кредиторской задолженности по выплате заработной платы с начислениями работникам бюджетной сферы и по расчетам за коммунальные услуги;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исполнение расходов поселения (без учета межбюджетных трансфертов из краевого и районного бюджетов) не менее 95%.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overflowPunct w:val="false"/>
        <w:spacing w:lineRule="auto" w:line="240" w:before="0" w:after="0"/>
        <w:ind w:firstLine="567"/>
        <w:jc w:val="both"/>
        <w:textAlignment w:val="baseline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Подпрограмма 3. «Обеспечение документами территориального планирования»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2014-2018 годы.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 w:eastAsiaTheme="minorHAns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обеспечить документами территориального планирования Шушенского сельсовета;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увеличить долю территории поселения, обеспеченной документами территориального планирования до 100%.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  <w:r>
        <w:rPr>
          <w:rFonts w:ascii="Times New Roman" w:hAnsi="Times New Roman"/>
          <w:color w:val="FF0000"/>
          <w:sz w:val="28"/>
          <w:szCs w:val="28"/>
          <w:highlight w:val="yellow"/>
        </w:rPr>
      </w:r>
    </w:p>
    <w:p>
      <w:pPr>
        <w:pStyle w:val="Normal"/>
        <w:overflowPunct w:val="false"/>
        <w:spacing w:lineRule="auto" w:line="240" w:before="0" w:after="0"/>
        <w:ind w:firstLine="567"/>
        <w:jc w:val="both"/>
        <w:textAlignment w:val="baseline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Подпрограмма 4. «Повышение энергетической эффективности                       и сокращение энергетических издержек в бюджетном секторе»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2014-2018 годы.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Экономический эффект от реализации подпрограммных мероприятий будет выражен в экономии каждого энергоресурса на 6,4%.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  <w:highlight w:val="yellow"/>
        </w:rPr>
      </w:r>
    </w:p>
    <w:p>
      <w:pPr>
        <w:pStyle w:val="Normal"/>
        <w:overflowPunct w:val="false"/>
        <w:spacing w:lineRule="auto" w:line="240" w:before="0" w:after="0"/>
        <w:ind w:firstLine="567"/>
        <w:jc w:val="both"/>
        <w:textAlignment w:val="baseline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Подпрограмма 5. «Обеспечение реализации муниципальной программы»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2014-2018 годы.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подпрограммы позволит повысить  эффективность управления бюджетными средствами и муниципального имущества в части полномочий по решению вопросов реализации программы, совершенствование системы оплаты труда, повышение качества межведомственного и межуправленческого взаимодействия.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7. Информация о распределении планируемых расходов по отдельным  мероприятиям  программы, подпрограммам 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</w:rPr>
        <w:t xml:space="preserve">нформация по данному разделу представлена в приложении № 3                         к Программе. </w:t>
      </w:r>
    </w:p>
    <w:p>
      <w:pPr>
        <w:pStyle w:val="Normal"/>
        <w:spacing w:lineRule="auto" w:line="240"/>
        <w:ind w:firstLine="567"/>
        <w:jc w:val="center"/>
        <w:rPr>
          <w:rFonts w:ascii="Times New Roman" w:hAnsi="Times New Roman"/>
          <w:b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8.  Информация о планируемых объемах бюджетных </w:t>
      </w:r>
      <w:r>
        <w:rPr>
          <w:rFonts w:ascii="Times New Roman" w:hAnsi="Times New Roman"/>
          <w:b/>
          <w:sz w:val="28"/>
          <w:szCs w:val="28"/>
        </w:rPr>
        <w:t>ассигнований, направленных на реализацию научной, научно-технической и инновационной деятельности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Осуществление научной, </w:t>
      </w:r>
      <w:r>
        <w:rPr>
          <w:rFonts w:ascii="Times New Roman" w:hAnsi="Times New Roman"/>
          <w:sz w:val="28"/>
          <w:szCs w:val="28"/>
        </w:rPr>
        <w:t xml:space="preserve">научно-технической и инновационной деятельности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рамках Программы не предусмотрено.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9. И</w:t>
      </w:r>
      <w:r>
        <w:rPr>
          <w:rFonts w:ascii="Times New Roman" w:hAnsi="Times New Roman"/>
          <w:b/>
          <w:sz w:val="28"/>
          <w:szCs w:val="28"/>
        </w:rPr>
        <w:t>нформация о ресурсном обеспечении и прогнозной оценке расходов на реализацию целей программы с учетом источников финансирования, в том числе средств федерального, краевого и бюджета поселения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</w:rPr>
        <w:t xml:space="preserve">нформация по данному разделу представлена в приложении № 5                         к Программе. 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b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10. </w:t>
      </w:r>
      <w:r>
        <w:rPr>
          <w:rFonts w:ascii="Times New Roman" w:hAnsi="Times New Roman"/>
          <w:b/>
          <w:sz w:val="28"/>
          <w:szCs w:val="28"/>
          <w:lang w:eastAsia="ru-RU"/>
        </w:rPr>
        <w:t>Прогноз сводных показателей муниципальных заданий</w:t>
      </w:r>
    </w:p>
    <w:p>
      <w:pPr>
        <w:pStyle w:val="ListParagraph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ind w:left="0"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sz w:val="28"/>
          <w:szCs w:val="28"/>
          <w:lang w:eastAsia="ru-RU"/>
        </w:rPr>
        <w:t xml:space="preserve">Оказания муниципальных услуг юридическим и физическим лицам    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рамках Программы не предусмотрено.</w:t>
      </w:r>
    </w:p>
    <w:p>
      <w:pPr>
        <w:pStyle w:val="Normal"/>
        <w:spacing w:lineRule="auto" w:line="240" w:before="0" w:after="200"/>
        <w:ind w:firstLine="567"/>
        <w:jc w:val="both"/>
        <w:rPr/>
      </w:pPr>
      <w:r>
        <w:rPr/>
      </w:r>
    </w:p>
    <w:sectPr>
      <w:type w:val="nextPage"/>
      <w:pgSz w:w="11906" w:h="16838"/>
      <w:pgMar w:left="1701" w:right="851" w:header="0" w:top="794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8"/>
        <w:b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8"/>
        <w:b/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sz w:val="28"/>
        <w:b/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8"/>
        <w:b/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z w:val="28"/>
        <w:b/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z w:val="28"/>
        <w:b/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8"/>
        <w:b/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z w:val="28"/>
        <w:b/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z w:val="28"/>
        <w:b/>
        <w:rFonts w:ascii="Times New Roman" w:hAnsi="Times New Roman" w:cs="Times New Roman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8"/>
        <w:b/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sz w:val="28"/>
        <w:rFonts w:ascii="Times New Roman" w:hAnsi="Times New Roman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f41be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nsPlusNormal" w:customStyle="1">
    <w:name w:val="ConsPlusNormal Знак"/>
    <w:link w:val="ConsPlusNormal"/>
    <w:qFormat/>
    <w:locked/>
    <w:rsid w:val="0058550a"/>
    <w:rPr>
      <w:rFonts w:ascii="Arial" w:hAnsi="Arial"/>
      <w:sz w:val="22"/>
      <w:lang w:val="ru-RU" w:eastAsia="ru-RU"/>
    </w:rPr>
  </w:style>
  <w:style w:type="character" w:styleId="Style14" w:customStyle="1">
    <w:name w:val="Основной текст Знак"/>
    <w:link w:val="a7"/>
    <w:uiPriority w:val="99"/>
    <w:semiHidden/>
    <w:qFormat/>
    <w:locked/>
    <w:rsid w:val="0058550a"/>
    <w:rPr>
      <w:rFonts w:cs="Times New Roman"/>
      <w:sz w:val="28"/>
      <w:lang w:val="ru-RU" w:eastAsia="ru-RU"/>
    </w:rPr>
  </w:style>
  <w:style w:type="character" w:styleId="Style15" w:customStyle="1">
    <w:name w:val="Основной текст с отступом Знак"/>
    <w:link w:val="a9"/>
    <w:uiPriority w:val="99"/>
    <w:semiHidden/>
    <w:qFormat/>
    <w:locked/>
    <w:rsid w:val="0058550a"/>
    <w:rPr>
      <w:rFonts w:cs="Times New Roman"/>
      <w:sz w:val="24"/>
      <w:lang w:val="ru-RU" w:eastAsia="ru-RU"/>
    </w:rPr>
  </w:style>
  <w:style w:type="character" w:styleId="Style16" w:customStyle="1">
    <w:name w:val="Текст выноски Знак"/>
    <w:link w:val="ab"/>
    <w:uiPriority w:val="99"/>
    <w:semiHidden/>
    <w:qFormat/>
    <w:locked/>
    <w:rsid w:val="00970c12"/>
    <w:rPr>
      <w:rFonts w:ascii="Tahoma" w:hAnsi="Tahoma" w:cs="Times New Roman"/>
      <w:sz w:val="16"/>
      <w:lang w:eastAsia="en-US"/>
    </w:rPr>
  </w:style>
  <w:style w:type="character" w:styleId="Style17" w:customStyle="1">
    <w:name w:val="Верхний колонтитул Знак"/>
    <w:basedOn w:val="DefaultParagraphFont"/>
    <w:link w:val="ad"/>
    <w:uiPriority w:val="99"/>
    <w:semiHidden/>
    <w:qFormat/>
    <w:rsid w:val="00cd344b"/>
    <w:rPr>
      <w:sz w:val="22"/>
      <w:szCs w:val="22"/>
      <w:lang w:eastAsia="en-US"/>
    </w:rPr>
  </w:style>
  <w:style w:type="character" w:styleId="Style18" w:customStyle="1">
    <w:name w:val="Нижний колонтитул Знак"/>
    <w:basedOn w:val="DefaultParagraphFont"/>
    <w:link w:val="af"/>
    <w:uiPriority w:val="99"/>
    <w:semiHidden/>
    <w:qFormat/>
    <w:rsid w:val="00cd344b"/>
    <w:rPr>
      <w:sz w:val="22"/>
      <w:szCs w:val="22"/>
      <w:lang w:eastAsia="en-US"/>
    </w:rPr>
  </w:style>
  <w:style w:type="character" w:styleId="Style19" w:customStyle="1">
    <w:name w:val="Абзац списка Знак"/>
    <w:link w:val="a4"/>
    <w:uiPriority w:val="99"/>
    <w:qFormat/>
    <w:locked/>
    <w:rsid w:val="0001410b"/>
    <w:rPr>
      <w:sz w:val="22"/>
      <w:szCs w:val="22"/>
      <w:lang w:eastAsia="en-US"/>
    </w:rPr>
  </w:style>
  <w:style w:type="character" w:styleId="Default" w:customStyle="1">
    <w:name w:val="Default Знак"/>
    <w:link w:val="Default0"/>
    <w:qFormat/>
    <w:locked/>
    <w:rsid w:val="007433e6"/>
    <w:rPr>
      <w:color w:val="000000"/>
      <w:sz w:val="24"/>
      <w:szCs w:val="24"/>
    </w:rPr>
  </w:style>
  <w:style w:type="character" w:styleId="FontStyle13" w:customStyle="1">
    <w:name w:val="Font Style13"/>
    <w:qFormat/>
    <w:rsid w:val="007433e6"/>
    <w:rPr>
      <w:rFonts w:ascii="Times New Roman" w:hAnsi="Times New Roman" w:cs="Times New Roman"/>
      <w:sz w:val="20"/>
      <w:szCs w:val="20"/>
    </w:rPr>
  </w:style>
  <w:style w:type="character" w:styleId="FontStyle11" w:customStyle="1">
    <w:name w:val="Font Style11"/>
    <w:qFormat/>
    <w:rsid w:val="007433e6"/>
    <w:rPr>
      <w:rFonts w:ascii="Times New Roman" w:hAnsi="Times New Roman" w:cs="Times New Roman"/>
      <w:sz w:val="18"/>
      <w:szCs w:val="18"/>
    </w:rPr>
  </w:style>
  <w:style w:type="character" w:styleId="ListLabel1">
    <w:name w:val="ListLabel 1"/>
    <w:qFormat/>
    <w:rPr>
      <w:rFonts w:ascii="Times New Roman" w:hAnsi="Times New Roman" w:cs="Times New Roman"/>
      <w:b/>
      <w:sz w:val="28"/>
    </w:rPr>
  </w:style>
  <w:style w:type="character" w:styleId="ListLabel2">
    <w:name w:val="ListLabel 2"/>
    <w:qFormat/>
    <w:rPr>
      <w:rFonts w:cs="Times New Roman"/>
      <w:sz w:val="24"/>
      <w:szCs w:val="24"/>
    </w:rPr>
  </w:style>
  <w:style w:type="character" w:styleId="ListLabel3">
    <w:name w:val="ListLabel 3"/>
    <w:qFormat/>
    <w:rPr>
      <w:rFonts w:ascii="Times New Roman" w:hAnsi="Times New Roman" w:eastAsia="Calibri" w:cs="Times New Roman"/>
      <w:b/>
      <w:sz w:val="28"/>
    </w:rPr>
  </w:style>
  <w:style w:type="character" w:styleId="ListLabel4">
    <w:name w:val="ListLabel 4"/>
    <w:qFormat/>
    <w:rPr>
      <w:strike w:val="false"/>
      <w:dstrike w:val="false"/>
      <w:u w:val="none"/>
      <w:effect w:val="blinkBackground"/>
    </w:rPr>
  </w:style>
  <w:style w:type="character" w:styleId="ListLabel5">
    <w:name w:val="ListLabel 5"/>
    <w:qFormat/>
    <w:rPr>
      <w:rFonts w:eastAsia="Calibri"/>
      <w:color w:val="221E1F"/>
    </w:rPr>
  </w:style>
  <w:style w:type="character" w:styleId="ListLabel6">
    <w:name w:val="ListLabel 6"/>
    <w:qFormat/>
    <w:rPr>
      <w:rFonts w:ascii="Times New Roman" w:hAnsi="Times New Roman" w:cs="Calibri"/>
      <w:sz w:val="28"/>
    </w:rPr>
  </w:style>
  <w:style w:type="character" w:styleId="Style20">
    <w:name w:val="Интернет-ссылка"/>
    <w:rPr>
      <w:color w:val="000080"/>
      <w:u w:val="single"/>
      <w:lang w:val="zxx" w:eastAsia="zxx" w:bidi="zxx"/>
    </w:rPr>
  </w:style>
  <w:style w:type="character" w:styleId="ListLabel7">
    <w:name w:val="ListLabel 7"/>
    <w:qFormat/>
    <w:rPr>
      <w:rFonts w:ascii="Times New Roman" w:hAnsi="Times New Roman" w:cs="Times New Roman"/>
      <w:b/>
      <w:sz w:val="28"/>
    </w:rPr>
  </w:style>
  <w:style w:type="character" w:styleId="ListLabel8">
    <w:name w:val="ListLabel 8"/>
    <w:qFormat/>
    <w:rPr>
      <w:rFonts w:ascii="Times New Roman" w:hAnsi="Times New Roman" w:eastAsia="Calibri" w:cs="Times New Roman"/>
      <w:b/>
      <w:sz w:val="28"/>
    </w:rPr>
  </w:style>
  <w:style w:type="character" w:styleId="ListLabel9">
    <w:name w:val="ListLabel 9"/>
    <w:qFormat/>
    <w:rPr>
      <w:rFonts w:ascii="Times New Roman" w:hAnsi="Times New Roman" w:cs="Calibri"/>
      <w:sz w:val="28"/>
    </w:rPr>
  </w:style>
  <w:style w:type="character" w:styleId="ListLabel10">
    <w:name w:val="ListLabel 10"/>
    <w:qFormat/>
    <w:rPr>
      <w:rFonts w:ascii="Times New Roman" w:hAnsi="Times New Roman" w:cs="Times New Roman"/>
      <w:b/>
      <w:sz w:val="28"/>
    </w:rPr>
  </w:style>
  <w:style w:type="character" w:styleId="ListLabel11">
    <w:name w:val="ListLabel 11"/>
    <w:qFormat/>
    <w:rPr>
      <w:rFonts w:ascii="Times New Roman" w:hAnsi="Times New Roman" w:eastAsia="Calibri" w:cs="Times New Roman"/>
      <w:b/>
      <w:sz w:val="28"/>
    </w:rPr>
  </w:style>
  <w:style w:type="character" w:styleId="ListLabel12">
    <w:name w:val="ListLabel 12"/>
    <w:qFormat/>
    <w:rPr>
      <w:rFonts w:ascii="Times New Roman" w:hAnsi="Times New Roman" w:cs="Calibri"/>
      <w:sz w:val="28"/>
    </w:rPr>
  </w:style>
  <w:style w:type="character" w:styleId="ListLabel13">
    <w:name w:val="ListLabel 13"/>
    <w:qFormat/>
    <w:rPr>
      <w:rFonts w:ascii="Times New Roman" w:hAnsi="Times New Roman" w:cs="Times New Roman"/>
      <w:b/>
      <w:sz w:val="28"/>
    </w:rPr>
  </w:style>
  <w:style w:type="character" w:styleId="ListLabel14">
    <w:name w:val="ListLabel 14"/>
    <w:qFormat/>
    <w:rPr>
      <w:rFonts w:ascii="Times New Roman" w:hAnsi="Times New Roman" w:eastAsia="Calibri" w:cs="Times New Roman"/>
      <w:b/>
      <w:sz w:val="28"/>
    </w:rPr>
  </w:style>
  <w:style w:type="character" w:styleId="ListLabel15">
    <w:name w:val="ListLabel 15"/>
    <w:qFormat/>
    <w:rPr>
      <w:rFonts w:ascii="Times New Roman" w:hAnsi="Times New Roman" w:cs="Calibri"/>
      <w:sz w:val="28"/>
    </w:rPr>
  </w:style>
  <w:style w:type="character" w:styleId="ListLabel16">
    <w:name w:val="ListLabel 16"/>
    <w:qFormat/>
    <w:rPr>
      <w:rFonts w:ascii="Times New Roman" w:hAnsi="Times New Roman" w:cs="Times New Roman"/>
      <w:b/>
      <w:sz w:val="28"/>
    </w:rPr>
  </w:style>
  <w:style w:type="character" w:styleId="ListLabel17">
    <w:name w:val="ListLabel 17"/>
    <w:qFormat/>
    <w:rPr>
      <w:rFonts w:ascii="Times New Roman" w:hAnsi="Times New Roman" w:eastAsia="Calibri" w:cs="Times New Roman"/>
      <w:b/>
      <w:sz w:val="28"/>
    </w:rPr>
  </w:style>
  <w:style w:type="character" w:styleId="ListLabel18">
    <w:name w:val="ListLabel 18"/>
    <w:qFormat/>
    <w:rPr>
      <w:rFonts w:ascii="Times New Roman" w:hAnsi="Times New Roman" w:cs="Calibri"/>
      <w:sz w:val="28"/>
    </w:rPr>
  </w:style>
  <w:style w:type="character" w:styleId="ListLabel19">
    <w:name w:val="ListLabel 19"/>
    <w:qFormat/>
    <w:rPr>
      <w:rFonts w:ascii="Times New Roman" w:hAnsi="Times New Roman" w:cs="Times New Roman"/>
      <w:b/>
      <w:sz w:val="28"/>
    </w:rPr>
  </w:style>
  <w:style w:type="character" w:styleId="ListLabel20">
    <w:name w:val="ListLabel 20"/>
    <w:qFormat/>
    <w:rPr>
      <w:rFonts w:ascii="Times New Roman" w:hAnsi="Times New Roman" w:eastAsia="Calibri" w:cs="Times New Roman"/>
      <w:b/>
      <w:sz w:val="28"/>
    </w:rPr>
  </w:style>
  <w:style w:type="character" w:styleId="ListLabel21">
    <w:name w:val="ListLabel 21"/>
    <w:qFormat/>
    <w:rPr>
      <w:rFonts w:ascii="Times New Roman" w:hAnsi="Times New Roman" w:cs="Calibri"/>
      <w:sz w:val="28"/>
    </w:rPr>
  </w:style>
  <w:style w:type="character" w:styleId="ListLabel22">
    <w:name w:val="ListLabel 22"/>
    <w:qFormat/>
    <w:rPr>
      <w:rFonts w:ascii="Times New Roman" w:hAnsi="Times New Roman" w:cs="Times New Roman"/>
      <w:b/>
      <w:sz w:val="28"/>
    </w:rPr>
  </w:style>
  <w:style w:type="character" w:styleId="ListLabel23">
    <w:name w:val="ListLabel 23"/>
    <w:qFormat/>
    <w:rPr>
      <w:rFonts w:ascii="Times New Roman" w:hAnsi="Times New Roman" w:eastAsia="Calibri" w:cs="Times New Roman"/>
      <w:b/>
      <w:sz w:val="28"/>
    </w:rPr>
  </w:style>
  <w:style w:type="character" w:styleId="ListLabel24">
    <w:name w:val="ListLabel 24"/>
    <w:qFormat/>
    <w:rPr>
      <w:rFonts w:ascii="Times New Roman" w:hAnsi="Times New Roman" w:cs="Calibri"/>
      <w:sz w:val="28"/>
    </w:rPr>
  </w:style>
  <w:style w:type="character" w:styleId="ListLabel25">
    <w:name w:val="ListLabel 25"/>
    <w:qFormat/>
    <w:rPr>
      <w:rFonts w:ascii="Times New Roman" w:hAnsi="Times New Roman" w:cs="Times New Roman"/>
      <w:b/>
      <w:sz w:val="28"/>
    </w:rPr>
  </w:style>
  <w:style w:type="character" w:styleId="ListLabel26">
    <w:name w:val="ListLabel 26"/>
    <w:qFormat/>
    <w:rPr>
      <w:rFonts w:ascii="Times New Roman" w:hAnsi="Times New Roman" w:eastAsia="Calibri" w:cs="Times New Roman"/>
      <w:b/>
      <w:sz w:val="28"/>
    </w:rPr>
  </w:style>
  <w:style w:type="character" w:styleId="ListLabel27">
    <w:name w:val="ListLabel 27"/>
    <w:qFormat/>
    <w:rPr>
      <w:rFonts w:ascii="Times New Roman" w:hAnsi="Times New Roman" w:cs="Calibri"/>
      <w:sz w:val="28"/>
    </w:rPr>
  </w:style>
  <w:style w:type="paragraph" w:styleId="Style21">
    <w:name w:val="Заголовок"/>
    <w:basedOn w:val="Normal"/>
    <w:next w:val="Style22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2">
    <w:name w:val="Основной текст"/>
    <w:basedOn w:val="Normal"/>
    <w:link w:val="a8"/>
    <w:uiPriority w:val="99"/>
    <w:semiHidden/>
    <w:rsid w:val="0058550a"/>
    <w:pPr>
      <w:spacing w:lineRule="auto" w:line="240" w:before="0" w:after="0"/>
      <w:jc w:val="both"/>
    </w:pPr>
    <w:rPr>
      <w:sz w:val="28"/>
      <w:szCs w:val="20"/>
      <w:lang w:eastAsia="ru-RU"/>
    </w:rPr>
  </w:style>
  <w:style w:type="paragraph" w:styleId="Style23">
    <w:name w:val="Список"/>
    <w:basedOn w:val="Style22"/>
    <w:pPr/>
    <w:rPr>
      <w:rFonts w:cs="Mangal"/>
    </w:rPr>
  </w:style>
  <w:style w:type="paragraph" w:styleId="Style24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link w:val="a5"/>
    <w:uiPriority w:val="99"/>
    <w:qFormat/>
    <w:rsid w:val="00bf41be"/>
    <w:pPr>
      <w:spacing w:before="0" w:after="200"/>
      <w:ind w:left="720" w:hanging="0"/>
      <w:contextualSpacing/>
    </w:pPr>
    <w:rPr/>
  </w:style>
  <w:style w:type="paragraph" w:styleId="ConsPlusCell" w:customStyle="1">
    <w:name w:val="ConsPlusCell"/>
    <w:uiPriority w:val="99"/>
    <w:qFormat/>
    <w:rsid w:val="00f41c0b"/>
    <w:pPr>
      <w:widowControl w:val="false"/>
      <w:bidi w:val="0"/>
      <w:jc w:val="left"/>
    </w:pPr>
    <w:rPr>
      <w:rFonts w:ascii="Calibri" w:hAnsi="Calibri" w:eastAsia="Times New Roman" w:cs="Calibri"/>
      <w:color w:val="00000A"/>
      <w:sz w:val="22"/>
      <w:szCs w:val="22"/>
      <w:lang w:val="ru-RU" w:eastAsia="ru-RU" w:bidi="ar-SA"/>
    </w:rPr>
  </w:style>
  <w:style w:type="paragraph" w:styleId="NormalWeb">
    <w:name w:val="Normal (Web)"/>
    <w:basedOn w:val="Normal"/>
    <w:uiPriority w:val="99"/>
    <w:semiHidden/>
    <w:qFormat/>
    <w:rsid w:val="00f41c0b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ConsPlusNormal1" w:customStyle="1">
    <w:name w:val="ConsPlusNormal"/>
    <w:link w:val="ConsPlusNormal0"/>
    <w:uiPriority w:val="99"/>
    <w:qFormat/>
    <w:rsid w:val="0058550a"/>
    <w:pPr>
      <w:widowControl w:val="false"/>
      <w:bidi w:val="0"/>
      <w:ind w:firstLine="720"/>
      <w:jc w:val="left"/>
    </w:pPr>
    <w:rPr>
      <w:rFonts w:ascii="Arial" w:hAnsi="Arial" w:eastAsia="Calibri" w:cs="Times New Roman"/>
      <w:color w:val="00000A"/>
      <w:sz w:val="22"/>
      <w:szCs w:val="22"/>
      <w:lang w:val="ru-RU" w:eastAsia="ru-RU" w:bidi="ar-SA"/>
    </w:rPr>
  </w:style>
  <w:style w:type="paragraph" w:styleId="Style26">
    <w:name w:val="Основной текст с отступом"/>
    <w:basedOn w:val="Normal"/>
    <w:link w:val="aa"/>
    <w:uiPriority w:val="99"/>
    <w:rsid w:val="0058550a"/>
    <w:pPr>
      <w:spacing w:lineRule="auto" w:line="240" w:before="0" w:after="120"/>
      <w:ind w:left="283" w:hanging="0"/>
    </w:pPr>
    <w:rPr>
      <w:sz w:val="24"/>
      <w:szCs w:val="20"/>
      <w:lang w:eastAsia="ru-RU"/>
    </w:rPr>
  </w:style>
  <w:style w:type="paragraph" w:styleId="ConsNormal" w:customStyle="1">
    <w:name w:val="ConsNormal"/>
    <w:uiPriority w:val="99"/>
    <w:qFormat/>
    <w:rsid w:val="0058550a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2"/>
      <w:szCs w:val="20"/>
      <w:lang w:val="ru-RU" w:eastAsia="ru-RU" w:bidi="ar-SA"/>
    </w:rPr>
  </w:style>
  <w:style w:type="paragraph" w:styleId="BalloonText">
    <w:name w:val="Balloon Text"/>
    <w:basedOn w:val="Normal"/>
    <w:link w:val="ac"/>
    <w:uiPriority w:val="99"/>
    <w:semiHidden/>
    <w:qFormat/>
    <w:rsid w:val="00970c12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Style27">
    <w:name w:val="Верхний колонтитул"/>
    <w:basedOn w:val="Normal"/>
    <w:link w:val="ae"/>
    <w:uiPriority w:val="99"/>
    <w:semiHidden/>
    <w:unhideWhenUsed/>
    <w:rsid w:val="00cd344b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8">
    <w:name w:val="Нижний колонтитул"/>
    <w:basedOn w:val="Normal"/>
    <w:link w:val="af0"/>
    <w:uiPriority w:val="99"/>
    <w:semiHidden/>
    <w:unhideWhenUsed/>
    <w:rsid w:val="00cd344b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 w:customStyle="1">
    <w:name w:val="Style2"/>
    <w:basedOn w:val="Normal"/>
    <w:qFormat/>
    <w:rsid w:val="007433e6"/>
    <w:pPr>
      <w:widowControl w:val="false"/>
      <w:spacing w:lineRule="exact" w:line="387" w:before="0" w:after="0"/>
      <w:ind w:firstLine="662"/>
      <w:jc w:val="both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Default1" w:customStyle="1">
    <w:name w:val="Default"/>
    <w:link w:val="Default"/>
    <w:qFormat/>
    <w:rsid w:val="007433e6"/>
    <w:pPr>
      <w:widowControl/>
      <w:bidi w:val="0"/>
      <w:jc w:val="left"/>
    </w:pPr>
    <w:rPr>
      <w:rFonts w:ascii="Calibri" w:hAnsi="Calibri" w:eastAsia="Calibri" w:cs="Times New Roman"/>
      <w:color w:val="000000"/>
      <w:sz w:val="24"/>
      <w:szCs w:val="24"/>
      <w:lang w:val="ru-RU" w:eastAsia="ru-RU" w:bidi="ar-SA"/>
    </w:rPr>
  </w:style>
  <w:style w:type="paragraph" w:styleId="ConsPlusTitle" w:customStyle="1">
    <w:name w:val="ConsPlusTitle"/>
    <w:qFormat/>
    <w:rsid w:val="009238f6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sz w:val="22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bf41be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653FF5B20CDC58A9D459063A8A18CFC2550C00C68978CBA07CAF96C9B1FDDFA1B75E05AEA1RDf9K" TargetMode="External"/><Relationship Id="rId3" Type="http://schemas.openxmlformats.org/officeDocument/2006/relationships/hyperlink" Target="consultantplus://offline/ref=653FF5B20CDC58A9D459063A8A18CFC2550C00C68978CBA07CAF96C9B1RFfDK" TargetMode="External"/><Relationship Id="rId4" Type="http://schemas.openxmlformats.org/officeDocument/2006/relationships/hyperlink" Target="consultantplus://offline/ref=653FF5B20CDC58A9D459063A8A18CFC2550C07C48F7BCBA07CAF96C9B1RFfDK" TargetMode="External"/><Relationship Id="rId5" Type="http://schemas.openxmlformats.org/officeDocument/2006/relationships/hyperlink" Target="consultantplus://offline/ref=D63B5488AD4FAF7A273BDD69E8AC2FFCE52FCA00790BFBFB5B16093BFB7289F0D23A98FD0E917DdB6BH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25F32-346D-4426-9390-8EF399E8D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1558</TotalTime>
  <Application>LibreOffice/5.0.4.2$Windows_X86_64 LibreOffice_project/2b9802c1994aa0b7dc6079e128979269cf95bc78</Application>
  <Paragraphs>133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2013-09-24T08:01:00Z</dcterms:created>
  <dc:creator>kom5</dc:creator>
  <dc:language>ru-RU</dc:language>
  <cp:lastPrinted>2016-01-17T07:28:00Z</cp:lastPrinted>
  <dcterms:modified xsi:type="dcterms:W3CDTF">2016-11-26T12:36:29Z</dcterms:modified>
  <cp:revision>354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